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Математические модели управления рисками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5EA5BD5" w:rsidR="00A77598" w:rsidRPr="00B00CE4" w:rsidRDefault="00B00CE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4B9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4B9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484B94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484B94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484B94">
              <w:rPr>
                <w:rFonts w:ascii="Times New Roman" w:hAnsi="Times New Roman" w:cs="Times New Roman"/>
                <w:sz w:val="20"/>
                <w:szCs w:val="20"/>
              </w:rPr>
              <w:t>, Луценко Михаил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3C4711" w:rsidR="004475DA" w:rsidRPr="00B00CE4" w:rsidRDefault="00B00CE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4E1847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F6D58DA" w:rsidR="00D75436" w:rsidRDefault="00651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DB8E6F3" w:rsidR="00D75436" w:rsidRDefault="00651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0678D87" w:rsidR="00D75436" w:rsidRDefault="00651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A75DDE1" w:rsidR="00D75436" w:rsidRDefault="00651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A155C78" w:rsidR="00D75436" w:rsidRDefault="00651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3B9FEF0" w:rsidR="00D75436" w:rsidRDefault="00651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7237C87" w:rsidR="00D75436" w:rsidRDefault="00651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A42FC8E" w:rsidR="00D75436" w:rsidRDefault="00651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9CBE9D0" w:rsidR="00D75436" w:rsidRDefault="00651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59AFEA3" w:rsidR="00D75436" w:rsidRDefault="00651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582177" w:rsidR="00D75436" w:rsidRDefault="00651D1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0496C57" w:rsidR="00D75436" w:rsidRDefault="00651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EACB43C" w:rsidR="00D75436" w:rsidRDefault="00651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19F5BD0" w:rsidR="00D75436" w:rsidRDefault="00651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A44A19" w:rsidR="00D75436" w:rsidRDefault="00651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1647491" w:rsidR="00D75436" w:rsidRDefault="00651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75FFA7A" w:rsidR="00D75436" w:rsidRDefault="00651D1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84B94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3F42ECA" w:rsidR="00751095" w:rsidRDefault="00751095" w:rsidP="00484B94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9AD99DB" w14:textId="77777777" w:rsidR="00484B94" w:rsidRPr="00484B94" w:rsidRDefault="00484B94" w:rsidP="00484B94">
      <w:pPr>
        <w:rPr>
          <w:lang w:val="en-US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484B9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систематизированных знаний в области анализа рисков, моделирования рисковых ситуаций, управления рисками; навыков принятия оптимальных решений в условиях неопределенности и риска с использованием экономико-математических методов и моделей.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84B9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Математические модели управления рисками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9"/>
        <w:gridCol w:w="2200"/>
        <w:gridCol w:w="5501"/>
      </w:tblGrid>
      <w:tr w:rsidR="00751095" w:rsidRPr="00484B94" w14:paraId="456F168A" w14:textId="77777777" w:rsidTr="00484B94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484B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4B9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484B9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4B9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484B9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4B9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4B9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4B94" w14:paraId="15D0A9B4" w14:textId="77777777" w:rsidTr="00484B94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484B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</w:rPr>
              <w:t>ПК-4 - Способен выполнить анализ вариантов управленческих и проектных решений, их оптимизацию с учетом критериев эффективности, рисков и возможных последствий</w:t>
            </w:r>
          </w:p>
        </w:tc>
        <w:tc>
          <w:tcPr>
            <w:tcW w:w="10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484B9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4B94">
              <w:rPr>
                <w:rFonts w:ascii="Times New Roman" w:hAnsi="Times New Roman" w:cs="Times New Roman"/>
                <w:lang w:bidi="ru-RU"/>
              </w:rPr>
              <w:t>ПК-4.2 - Выполняет оптимизацию управленческих и проектных решений с учетом критериев эффективности, рисков и возможных последствий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484B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4B94">
              <w:rPr>
                <w:rFonts w:ascii="Times New Roman" w:hAnsi="Times New Roman" w:cs="Times New Roman"/>
              </w:rPr>
              <w:t>варианты возможных управленческих и проектных решений, а также критерии эффективности и возможные риски.</w:t>
            </w:r>
            <w:r w:rsidRPr="00484B9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4B9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4B94">
              <w:rPr>
                <w:rFonts w:ascii="Times New Roman" w:hAnsi="Times New Roman" w:cs="Times New Roman"/>
              </w:rPr>
              <w:t>проводить анализ вариантов решений и их последствия с учетом критериев эффективности и рисков</w:t>
            </w:r>
            <w:r w:rsidRPr="00484B9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84B9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4B9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4B94">
              <w:rPr>
                <w:rFonts w:ascii="Times New Roman" w:hAnsi="Times New Roman" w:cs="Times New Roman"/>
              </w:rPr>
              <w:t>методами оптимизации, теории принятия решений, теории рисков</w:t>
            </w:r>
            <w:r w:rsidRPr="00484B9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84B9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Риски в экономике. Понятия неопределенности и риска.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неопределенности и риска в принятии управленческих решений.  ЛПР. Интуиция и формализованные процедуры. Определенность и неопределенность.  Понятия неопределенности и риска. Различные типы неопределенностей и характер их влияния на функционирование системы.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C4FFA6C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F2578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Критериальный выбор в условиях риска и неопределённости.</w:t>
            </w:r>
          </w:p>
        </w:tc>
        <w:tc>
          <w:tcPr>
            <w:tcW w:w="2543" w:type="pct"/>
            <w:gridSpan w:val="2"/>
          </w:tcPr>
          <w:p w14:paraId="3B7EDC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последовательного уменьшения неопределенности.  Основные критерии выбора в условиях неопределенности: критерии Вальда, Лапласа, Сэвиджа, Гурвица. Сравнительный анализ критериев и область их применения. Принятие решений в условиях риска. Количественная оценка последствий принятия решений в виде дискретных или непрерывных случайных величин. Критерии выбора оптимальной альтернативы в условиях риска: предельного значения, наиболее вероятного значения, ожидаемого значения, вариабельности, обобщенные. Сравнительный анализ критериев выбора в условиях риска. Многоэтапный выбор в условиях риска. Деревья решений.</w:t>
            </w:r>
          </w:p>
        </w:tc>
        <w:tc>
          <w:tcPr>
            <w:tcW w:w="357" w:type="pct"/>
            <w:gridSpan w:val="2"/>
            <w:vAlign w:val="center"/>
          </w:tcPr>
          <w:p w14:paraId="0CDF5D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700CD0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369B856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7596A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8C4986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7346AA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субъективного отношения к риску. Теория ожидаемой полезности.</w:t>
            </w:r>
          </w:p>
        </w:tc>
        <w:tc>
          <w:tcPr>
            <w:tcW w:w="2543" w:type="pct"/>
            <w:gridSpan w:val="2"/>
          </w:tcPr>
          <w:p w14:paraId="790E4D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Теория ожидаемой полезности. Функция полезности и ее свойства. Типы отношения к риску и особенности поведения в условиях риска. Премия за риск. Каннеман и критика субъективного подхода к оценке вероятности. Ошибки мышления и некорректность оценки вероятности. Методы преодоления ошибок мышления. Мышление, основанное на данных.</w:t>
            </w:r>
          </w:p>
        </w:tc>
        <w:tc>
          <w:tcPr>
            <w:tcW w:w="357" w:type="pct"/>
            <w:gridSpan w:val="2"/>
            <w:vAlign w:val="center"/>
          </w:tcPr>
          <w:p w14:paraId="34B160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13CCF8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395535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4FA4D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6E70FD3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ED7E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и инструменты качественного и количественного анализа рисков.</w:t>
            </w:r>
          </w:p>
        </w:tc>
        <w:tc>
          <w:tcPr>
            <w:tcW w:w="2543" w:type="pct"/>
            <w:gridSpan w:val="2"/>
          </w:tcPr>
          <w:p w14:paraId="7B07F4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рисков. Идентификация факторов риска. Карты рисков. Экспертные оценки. Анализ чувствительности. Сценарный подход. Деревья решений. Метод реальных опционов. Имитационный анализ рисков (метод Монте-Карло). Стандартизация подходов к анализу проектных рисков и управлению рисками проекта.</w:t>
            </w:r>
          </w:p>
        </w:tc>
        <w:tc>
          <w:tcPr>
            <w:tcW w:w="357" w:type="pct"/>
            <w:gridSpan w:val="2"/>
            <w:vAlign w:val="center"/>
          </w:tcPr>
          <w:p w14:paraId="7B4A59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vAlign w:val="center"/>
          </w:tcPr>
          <w:p w14:paraId="6E6B41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23C2C8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2A173E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E45C5E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6956D50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Моделирование рисковых ситуаций.</w:t>
            </w:r>
          </w:p>
        </w:tc>
        <w:tc>
          <w:tcPr>
            <w:tcW w:w="2543" w:type="pct"/>
            <w:gridSpan w:val="2"/>
          </w:tcPr>
          <w:p w14:paraId="4336D0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 оценки инвестиционных рисков. Портфельный подход к системе управления рисками. Модель оценки капитальных активов (САРМ). Управление рыночным риском портфеля производных финансовых инструментов. Концепция стоимостной меры риска (VaR). Модели оценки кредитного риска: эконометрическая, нейросетевая, оптимизационная. Подходы к оценке кредитного риска: «внутренний» и «рыночный». Модели оценки кредитоспособности на основе бухгалтерских данных: модель Альтмана Z-score, модель ZETA.</w:t>
            </w:r>
          </w:p>
        </w:tc>
        <w:tc>
          <w:tcPr>
            <w:tcW w:w="357" w:type="pct"/>
            <w:gridSpan w:val="2"/>
            <w:vAlign w:val="center"/>
          </w:tcPr>
          <w:p w14:paraId="28DF7D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vAlign w:val="center"/>
          </w:tcPr>
          <w:p w14:paraId="20ED63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4E0E1C6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E63A6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45F4E23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6B83A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Информационное обеспечение анализа рисков и процесса принятия решений в условиях риска.</w:t>
            </w:r>
          </w:p>
        </w:tc>
        <w:tc>
          <w:tcPr>
            <w:tcW w:w="2543" w:type="pct"/>
            <w:gridSpan w:val="2"/>
          </w:tcPr>
          <w:p w14:paraId="349A85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данных. Программные системы для анализа рисков. Сравнительный анализ.</w:t>
            </w:r>
          </w:p>
        </w:tc>
        <w:tc>
          <w:tcPr>
            <w:tcW w:w="357" w:type="pct"/>
            <w:gridSpan w:val="2"/>
            <w:vAlign w:val="center"/>
          </w:tcPr>
          <w:p w14:paraId="26EE98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2A6E13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5BFDF0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7FEC8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5"/>
        <w:gridCol w:w="31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Касьяненко, Т. Г. Анализ и оценка рисков в бизнесе : учебник и практикум / Т.Г. Касьяненко, Г.А. Маховикова. — 2-е изд., </w:t>
            </w:r>
            <w:proofErr w:type="spell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. и доп. — Электрон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ан.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2019. — 381 с.</w:t>
            </w:r>
          </w:p>
        </w:tc>
        <w:tc>
          <w:tcPr>
            <w:tcW w:w="920" w:type="pct"/>
            <w:vAlign w:val="center"/>
            <w:hideMark/>
          </w:tcPr>
          <w:p w14:paraId="25965B29" w14:textId="0CF2FFC1" w:rsidR="00262CF0" w:rsidRPr="007E6725" w:rsidRDefault="00651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https://urait.ru/bcode/432142</w:t>
              </w:r>
            </w:hyperlink>
          </w:p>
        </w:tc>
      </w:tr>
      <w:tr w:rsidR="00262CF0" w:rsidRPr="007E6725" w14:paraId="334B7054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17457AEB" w14:textId="77777777" w:rsidR="00262CF0" w:rsidRPr="00484B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Воронцовский, А. В.  Управление рисками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В. Воронцовский. — 2-е изд. — Москва : Издательство </w:t>
            </w:r>
            <w:proofErr w:type="spell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, 2025. — 485 с.</w:t>
            </w:r>
          </w:p>
        </w:tc>
        <w:tc>
          <w:tcPr>
            <w:tcW w:w="920" w:type="pct"/>
            <w:vAlign w:val="center"/>
            <w:hideMark/>
          </w:tcPr>
          <w:p w14:paraId="5F8959EB" w14:textId="77777777" w:rsidR="00262CF0" w:rsidRPr="00484B94" w:rsidRDefault="00651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https://urait.ru/viewer/upravlenie-riskami-560651</w:t>
              </w:r>
            </w:hyperlink>
          </w:p>
        </w:tc>
      </w:tr>
      <w:tr w:rsidR="00262CF0" w:rsidRPr="00B00CE4" w14:paraId="4240B607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702105D4" w14:textId="77777777" w:rsidR="00262CF0" w:rsidRPr="00484B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Белов, П. Г.  Системный анализ и программно-целевой менеджмент рисков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П. Г. Белов. — Москва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, 2025. — 289 с.</w:t>
            </w:r>
          </w:p>
        </w:tc>
        <w:tc>
          <w:tcPr>
            <w:tcW w:w="920" w:type="pct"/>
            <w:vAlign w:val="center"/>
            <w:hideMark/>
          </w:tcPr>
          <w:p w14:paraId="3DE98283" w14:textId="77777777" w:rsidR="00262CF0" w:rsidRPr="007E6725" w:rsidRDefault="00651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anchor="page/1" w:history="1">
              <w:r w:rsidR="00984247" w:rsidRPr="00484B94">
                <w:rPr>
                  <w:color w:val="00008B"/>
                  <w:u w:val="single"/>
                  <w:lang w:val="en-US"/>
                </w:rPr>
                <w:t>https://urait.ru/viewer/sistem ... nedzhment-riskov-563680#page/1</w:t>
              </w:r>
            </w:hyperlink>
          </w:p>
        </w:tc>
      </w:tr>
      <w:tr w:rsidR="00262CF0" w:rsidRPr="007E6725" w14:paraId="7B3B385E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47940D9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Рягин</w:t>
            </w:r>
            <w:proofErr w:type="spell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, Ю. И. </w:t>
            </w:r>
            <w:proofErr w:type="spell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Рискология</w:t>
            </w:r>
            <w:proofErr w:type="spell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в 2 ч. Часть 1: учебник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— Электрон. дан. — М.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 с.</w:t>
            </w:r>
          </w:p>
        </w:tc>
        <w:tc>
          <w:tcPr>
            <w:tcW w:w="920" w:type="pct"/>
            <w:vAlign w:val="center"/>
            <w:hideMark/>
          </w:tcPr>
          <w:p w14:paraId="15DA855F" w14:textId="77777777" w:rsidR="00262CF0" w:rsidRPr="007E6725" w:rsidRDefault="00651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https://urait.ru/bcode/438050</w:t>
              </w:r>
            </w:hyperlink>
          </w:p>
        </w:tc>
      </w:tr>
      <w:tr w:rsidR="00262CF0" w:rsidRPr="007E6725" w14:paraId="7A5D0117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29EE6A75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Рягин</w:t>
            </w:r>
            <w:proofErr w:type="spell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, Ю. И. </w:t>
            </w:r>
            <w:proofErr w:type="spell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Рискология</w:t>
            </w:r>
            <w:proofErr w:type="spell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в 2 ч. Часть 2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учебник. — Электрон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ан. — М.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, 2019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275 с.</w:t>
            </w:r>
          </w:p>
        </w:tc>
        <w:tc>
          <w:tcPr>
            <w:tcW w:w="920" w:type="pct"/>
            <w:vAlign w:val="center"/>
            <w:hideMark/>
          </w:tcPr>
          <w:p w14:paraId="3A76CB2B" w14:textId="77777777" w:rsidR="00262CF0" w:rsidRPr="007E6725" w:rsidRDefault="00651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https://urait.ru/bcode/438051</w:t>
              </w:r>
            </w:hyperlink>
          </w:p>
        </w:tc>
      </w:tr>
      <w:tr w:rsidR="00262CF0" w:rsidRPr="007E6725" w14:paraId="752C566D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5CFFD2B4" w14:textId="77777777" w:rsidR="00262CF0" w:rsidRPr="00484B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Шиловская, Н. А.  Теория игр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Н. А. Шиловская. — Москва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, 2025. — 318 с.</w:t>
            </w:r>
          </w:p>
        </w:tc>
        <w:tc>
          <w:tcPr>
            <w:tcW w:w="920" w:type="pct"/>
            <w:vAlign w:val="center"/>
            <w:hideMark/>
          </w:tcPr>
          <w:p w14:paraId="5D432D43" w14:textId="77777777" w:rsidR="00262CF0" w:rsidRPr="00484B94" w:rsidRDefault="00651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https://urait.ru/viewer/teoriya-igr-561384</w:t>
              </w:r>
            </w:hyperlink>
          </w:p>
        </w:tc>
      </w:tr>
      <w:tr w:rsidR="00262CF0" w:rsidRPr="00B00CE4" w14:paraId="1C38D1B4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40FC93CD" w14:textId="77777777" w:rsidR="00262CF0" w:rsidRPr="00484B9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Кремлёв, А. Г.  Теория игр: основные понятия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Г. Кремлёв ; под научной редакцией А. М. Тарасьева. — Москва</w:t>
            </w:r>
            <w:proofErr w:type="gram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84B94">
              <w:rPr>
                <w:rFonts w:ascii="Times New Roman" w:hAnsi="Times New Roman" w:cs="Times New Roman"/>
                <w:sz w:val="24"/>
                <w:szCs w:val="24"/>
              </w:rPr>
              <w:t>, 2024. — 141 с.</w:t>
            </w:r>
          </w:p>
        </w:tc>
        <w:tc>
          <w:tcPr>
            <w:tcW w:w="920" w:type="pct"/>
            <w:vAlign w:val="center"/>
            <w:hideMark/>
          </w:tcPr>
          <w:p w14:paraId="34BEF138" w14:textId="77777777" w:rsidR="00262CF0" w:rsidRPr="007E6725" w:rsidRDefault="00651D1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anchor="page/1" w:history="1">
              <w:r w:rsidR="00984247" w:rsidRPr="00484B94">
                <w:rPr>
                  <w:color w:val="00008B"/>
                  <w:u w:val="single"/>
                  <w:lang w:val="en-US"/>
                </w:rPr>
                <w:t>https://urait.ru/viewer/teoriy ... novnye-ponyatiya-539368#page/1</w:t>
              </w:r>
            </w:hyperlink>
          </w:p>
        </w:tc>
      </w:tr>
    </w:tbl>
    <w:p w14:paraId="570D085B" w14:textId="77777777" w:rsidR="0091168E" w:rsidRPr="00484B94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6CC443" w14:textId="77777777" w:rsidTr="007B550D">
        <w:tc>
          <w:tcPr>
            <w:tcW w:w="9345" w:type="dxa"/>
          </w:tcPr>
          <w:p w14:paraId="4AD1B0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A7B4A2C" w14:textId="77777777" w:rsidTr="007B550D">
        <w:tc>
          <w:tcPr>
            <w:tcW w:w="9345" w:type="dxa"/>
          </w:tcPr>
          <w:p w14:paraId="0CB22D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9ED5D45" w14:textId="77777777" w:rsidTr="007B550D">
        <w:tc>
          <w:tcPr>
            <w:tcW w:w="9345" w:type="dxa"/>
          </w:tcPr>
          <w:p w14:paraId="56D9506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51B4D65" w14:textId="77777777" w:rsidTr="007B550D">
        <w:tc>
          <w:tcPr>
            <w:tcW w:w="9345" w:type="dxa"/>
          </w:tcPr>
          <w:p w14:paraId="52201D9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651D1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1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84B94" w14:paraId="53424330" w14:textId="77777777" w:rsidTr="008416EB">
        <w:tc>
          <w:tcPr>
            <w:tcW w:w="7797" w:type="dxa"/>
          </w:tcPr>
          <w:p w14:paraId="2986F8BC" w14:textId="77777777" w:rsidR="002C735C" w:rsidRPr="00484B9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4B9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484B9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84B9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84B94" w14:paraId="3B643305" w14:textId="77777777" w:rsidTr="008416EB">
        <w:tc>
          <w:tcPr>
            <w:tcW w:w="7797" w:type="dxa"/>
          </w:tcPr>
          <w:p w14:paraId="30187323" w14:textId="51649087" w:rsidR="002C735C" w:rsidRPr="00484B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4B94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84B9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84B94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484B94">
              <w:rPr>
                <w:sz w:val="22"/>
                <w:szCs w:val="22"/>
                <w:lang w:val="en-US"/>
              </w:rPr>
              <w:t>HP</w:t>
            </w:r>
            <w:r w:rsidRPr="00484B94">
              <w:rPr>
                <w:sz w:val="22"/>
                <w:szCs w:val="22"/>
              </w:rPr>
              <w:t xml:space="preserve"> 250 </w:t>
            </w:r>
            <w:r w:rsidRPr="00484B94">
              <w:rPr>
                <w:sz w:val="22"/>
                <w:szCs w:val="22"/>
                <w:lang w:val="en-US"/>
              </w:rPr>
              <w:t>G</w:t>
            </w:r>
            <w:r w:rsidRPr="00484B94">
              <w:rPr>
                <w:sz w:val="22"/>
                <w:szCs w:val="22"/>
              </w:rPr>
              <w:t>6 1</w:t>
            </w:r>
            <w:r w:rsidRPr="00484B94">
              <w:rPr>
                <w:sz w:val="22"/>
                <w:szCs w:val="22"/>
                <w:lang w:val="en-US"/>
              </w:rPr>
              <w:t>WY</w:t>
            </w:r>
            <w:r w:rsidRPr="00484B94">
              <w:rPr>
                <w:sz w:val="22"/>
                <w:szCs w:val="22"/>
              </w:rPr>
              <w:t>58</w:t>
            </w:r>
            <w:r w:rsidRPr="00484B94">
              <w:rPr>
                <w:sz w:val="22"/>
                <w:szCs w:val="22"/>
                <w:lang w:val="en-US"/>
              </w:rPr>
              <w:t>EA</w:t>
            </w:r>
            <w:r w:rsidRPr="00484B94">
              <w:rPr>
                <w:sz w:val="22"/>
                <w:szCs w:val="22"/>
              </w:rPr>
              <w:t xml:space="preserve">, Мультимедийный проектор </w:t>
            </w:r>
            <w:r w:rsidRPr="00484B94">
              <w:rPr>
                <w:sz w:val="22"/>
                <w:szCs w:val="22"/>
                <w:lang w:val="en-US"/>
              </w:rPr>
              <w:t>LG</w:t>
            </w:r>
            <w:r w:rsidRPr="00484B94">
              <w:rPr>
                <w:sz w:val="22"/>
                <w:szCs w:val="22"/>
              </w:rPr>
              <w:t xml:space="preserve"> </w:t>
            </w:r>
            <w:r w:rsidRPr="00484B94">
              <w:rPr>
                <w:sz w:val="22"/>
                <w:szCs w:val="22"/>
                <w:lang w:val="en-US"/>
              </w:rPr>
              <w:t>PF</w:t>
            </w:r>
            <w:r w:rsidRPr="00484B94">
              <w:rPr>
                <w:sz w:val="22"/>
                <w:szCs w:val="22"/>
              </w:rPr>
              <w:t>1500</w:t>
            </w:r>
            <w:r w:rsidRPr="00484B94">
              <w:rPr>
                <w:sz w:val="22"/>
                <w:szCs w:val="22"/>
                <w:lang w:val="en-US"/>
              </w:rPr>
              <w:t>G</w:t>
            </w:r>
            <w:r w:rsidRPr="00484B9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484B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4B9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4B94" w14:paraId="4E0C20BF" w14:textId="77777777" w:rsidTr="008416EB">
        <w:tc>
          <w:tcPr>
            <w:tcW w:w="7797" w:type="dxa"/>
          </w:tcPr>
          <w:p w14:paraId="7374EFFC" w14:textId="77777777" w:rsidR="002C735C" w:rsidRPr="00484B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4B94">
              <w:rPr>
                <w:sz w:val="22"/>
                <w:szCs w:val="22"/>
              </w:rPr>
              <w:t xml:space="preserve">Ауд. 3041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84B9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84B94">
              <w:rPr>
                <w:sz w:val="22"/>
                <w:szCs w:val="22"/>
              </w:rPr>
              <w:t xml:space="preserve">  мебель и оборудование: Учебная мебель на 32 посадочных мест (парт 16шт.), рабочее место преподавателя, доска меловая (3-х секционная) 1 шт., доска меловая (односекционная) 1 шт., стул 4шт., вешалка стойка 1шт. Переносной мультимедийный комплект: Ноутбук </w:t>
            </w:r>
            <w:r w:rsidRPr="00484B94">
              <w:rPr>
                <w:sz w:val="22"/>
                <w:szCs w:val="22"/>
                <w:lang w:val="en-US"/>
              </w:rPr>
              <w:t>HP</w:t>
            </w:r>
            <w:r w:rsidRPr="00484B94">
              <w:rPr>
                <w:sz w:val="22"/>
                <w:szCs w:val="22"/>
              </w:rPr>
              <w:t xml:space="preserve"> 250 </w:t>
            </w:r>
            <w:r w:rsidRPr="00484B94">
              <w:rPr>
                <w:sz w:val="22"/>
                <w:szCs w:val="22"/>
                <w:lang w:val="en-US"/>
              </w:rPr>
              <w:t>G</w:t>
            </w:r>
            <w:r w:rsidRPr="00484B94">
              <w:rPr>
                <w:sz w:val="22"/>
                <w:szCs w:val="22"/>
              </w:rPr>
              <w:t>6 1</w:t>
            </w:r>
            <w:r w:rsidRPr="00484B94">
              <w:rPr>
                <w:sz w:val="22"/>
                <w:szCs w:val="22"/>
                <w:lang w:val="en-US"/>
              </w:rPr>
              <w:t>WY</w:t>
            </w:r>
            <w:r w:rsidRPr="00484B94">
              <w:rPr>
                <w:sz w:val="22"/>
                <w:szCs w:val="22"/>
              </w:rPr>
              <w:t>58</w:t>
            </w:r>
            <w:r w:rsidRPr="00484B94">
              <w:rPr>
                <w:sz w:val="22"/>
                <w:szCs w:val="22"/>
                <w:lang w:val="en-US"/>
              </w:rPr>
              <w:t>EA</w:t>
            </w:r>
            <w:r w:rsidRPr="00484B94">
              <w:rPr>
                <w:sz w:val="22"/>
                <w:szCs w:val="22"/>
              </w:rPr>
              <w:t xml:space="preserve">, Мультимедийный проектор </w:t>
            </w:r>
            <w:r w:rsidRPr="00484B94">
              <w:rPr>
                <w:sz w:val="22"/>
                <w:szCs w:val="22"/>
                <w:lang w:val="en-US"/>
              </w:rPr>
              <w:t>LG</w:t>
            </w:r>
            <w:r w:rsidRPr="00484B94">
              <w:rPr>
                <w:sz w:val="22"/>
                <w:szCs w:val="22"/>
              </w:rPr>
              <w:t xml:space="preserve"> </w:t>
            </w:r>
            <w:r w:rsidRPr="00484B94">
              <w:rPr>
                <w:sz w:val="22"/>
                <w:szCs w:val="22"/>
                <w:lang w:val="en-US"/>
              </w:rPr>
              <w:t>PF</w:t>
            </w:r>
            <w:r w:rsidRPr="00484B94">
              <w:rPr>
                <w:sz w:val="22"/>
                <w:szCs w:val="22"/>
              </w:rPr>
              <w:t>1500</w:t>
            </w:r>
            <w:r w:rsidRPr="00484B94">
              <w:rPr>
                <w:sz w:val="22"/>
                <w:szCs w:val="22"/>
                <w:lang w:val="en-US"/>
              </w:rPr>
              <w:t>G</w:t>
            </w:r>
            <w:r w:rsidRPr="00484B94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68277DA5" w14:textId="77777777" w:rsidR="002C735C" w:rsidRPr="00484B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4B9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84B94" w14:paraId="21D3CCD6" w14:textId="77777777" w:rsidTr="008416EB">
        <w:tc>
          <w:tcPr>
            <w:tcW w:w="7797" w:type="dxa"/>
          </w:tcPr>
          <w:p w14:paraId="42511840" w14:textId="77777777" w:rsidR="002C735C" w:rsidRPr="00484B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4B94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</w:t>
            </w:r>
            <w:proofErr w:type="spellStart"/>
            <w:r w:rsidRPr="00484B9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84B9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484B94">
              <w:rPr>
                <w:sz w:val="22"/>
                <w:szCs w:val="22"/>
                <w:lang w:val="en-US"/>
              </w:rPr>
              <w:t>I</w:t>
            </w:r>
            <w:r w:rsidRPr="00484B94">
              <w:rPr>
                <w:sz w:val="22"/>
                <w:szCs w:val="22"/>
              </w:rPr>
              <w:t>5-7400/8</w:t>
            </w:r>
            <w:r w:rsidRPr="00484B94">
              <w:rPr>
                <w:sz w:val="22"/>
                <w:szCs w:val="22"/>
                <w:lang w:val="en-US"/>
              </w:rPr>
              <w:t>Gb</w:t>
            </w:r>
            <w:r w:rsidRPr="00484B94">
              <w:rPr>
                <w:sz w:val="22"/>
                <w:szCs w:val="22"/>
              </w:rPr>
              <w:t>/1</w:t>
            </w:r>
            <w:r w:rsidRPr="00484B94">
              <w:rPr>
                <w:sz w:val="22"/>
                <w:szCs w:val="22"/>
                <w:lang w:val="en-US"/>
              </w:rPr>
              <w:t>Tb</w:t>
            </w:r>
            <w:r w:rsidRPr="00484B94">
              <w:rPr>
                <w:sz w:val="22"/>
                <w:szCs w:val="22"/>
              </w:rPr>
              <w:t>/</w:t>
            </w:r>
            <w:r w:rsidRPr="00484B94">
              <w:rPr>
                <w:sz w:val="22"/>
                <w:szCs w:val="22"/>
                <w:lang w:val="en-US"/>
              </w:rPr>
              <w:t>DELL</w:t>
            </w:r>
            <w:r w:rsidRPr="00484B94">
              <w:rPr>
                <w:sz w:val="22"/>
                <w:szCs w:val="22"/>
              </w:rPr>
              <w:t xml:space="preserve"> </w:t>
            </w:r>
            <w:r w:rsidRPr="00484B94">
              <w:rPr>
                <w:sz w:val="22"/>
                <w:szCs w:val="22"/>
                <w:lang w:val="en-US"/>
              </w:rPr>
              <w:t>S</w:t>
            </w:r>
            <w:r w:rsidRPr="00484B94">
              <w:rPr>
                <w:sz w:val="22"/>
                <w:szCs w:val="22"/>
              </w:rPr>
              <w:t>2218</w:t>
            </w:r>
            <w:r w:rsidRPr="00484B94">
              <w:rPr>
                <w:sz w:val="22"/>
                <w:szCs w:val="22"/>
                <w:lang w:val="en-US"/>
              </w:rPr>
              <w:t>H</w:t>
            </w:r>
            <w:r w:rsidRPr="00484B94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484B9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84B94">
              <w:rPr>
                <w:sz w:val="22"/>
                <w:szCs w:val="22"/>
              </w:rPr>
              <w:t xml:space="preserve"> </w:t>
            </w:r>
            <w:r w:rsidRPr="00484B94">
              <w:rPr>
                <w:sz w:val="22"/>
                <w:szCs w:val="22"/>
                <w:lang w:val="en-US"/>
              </w:rPr>
              <w:t>OP</w:t>
            </w:r>
            <w:r w:rsidRPr="00484B94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C1C396D" w14:textId="77777777" w:rsidR="002C735C" w:rsidRPr="00484B9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84B9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4B94" w14:paraId="6F395ACA" w14:textId="77777777" w:rsidTr="00AE47DC">
        <w:tc>
          <w:tcPr>
            <w:tcW w:w="562" w:type="dxa"/>
          </w:tcPr>
          <w:p w14:paraId="6710C89E" w14:textId="77777777" w:rsidR="00484B94" w:rsidRPr="00B00CE4" w:rsidRDefault="00484B94" w:rsidP="00AE47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9ED49EA" w14:textId="77777777" w:rsidR="00484B94" w:rsidRPr="00484B94" w:rsidRDefault="00484B94" w:rsidP="00AE47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4B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84B9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4B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84B94" w14:paraId="5A1C9382" w14:textId="77777777" w:rsidTr="00801458">
        <w:tc>
          <w:tcPr>
            <w:tcW w:w="2336" w:type="dxa"/>
          </w:tcPr>
          <w:p w14:paraId="4C518DAB" w14:textId="77777777" w:rsidR="005D65A5" w:rsidRPr="00484B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B9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84B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B9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84B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B9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84B9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B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84B94" w14:paraId="07658034" w14:textId="77777777" w:rsidTr="00801458">
        <w:tc>
          <w:tcPr>
            <w:tcW w:w="2336" w:type="dxa"/>
          </w:tcPr>
          <w:p w14:paraId="1553D698" w14:textId="78F29BFB" w:rsidR="005D65A5" w:rsidRPr="00484B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84B94" w:rsidRDefault="007478E0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9793085" w14:textId="37E3864C" w:rsidR="005D65A5" w:rsidRPr="00484B94" w:rsidRDefault="007478E0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84B94" w:rsidRDefault="007478E0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484B94" w14:paraId="68945D2A" w14:textId="77777777" w:rsidTr="00801458">
        <w:tc>
          <w:tcPr>
            <w:tcW w:w="2336" w:type="dxa"/>
          </w:tcPr>
          <w:p w14:paraId="5565F719" w14:textId="77777777" w:rsidR="005D65A5" w:rsidRPr="00484B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3C54D41" w14:textId="77777777" w:rsidR="005D65A5" w:rsidRPr="00484B94" w:rsidRDefault="007478E0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33181EC" w14:textId="77777777" w:rsidR="005D65A5" w:rsidRPr="00484B94" w:rsidRDefault="007478E0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D51DCE7" w14:textId="77777777" w:rsidR="005D65A5" w:rsidRPr="00484B94" w:rsidRDefault="007478E0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484B94" w14:paraId="47960E1F" w14:textId="77777777" w:rsidTr="00801458">
        <w:tc>
          <w:tcPr>
            <w:tcW w:w="2336" w:type="dxa"/>
          </w:tcPr>
          <w:p w14:paraId="1EC6FD89" w14:textId="77777777" w:rsidR="005D65A5" w:rsidRPr="00484B9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F92C1D" w14:textId="77777777" w:rsidR="005D65A5" w:rsidRPr="00484B94" w:rsidRDefault="007478E0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C1E28FB" w14:textId="77777777" w:rsidR="005D65A5" w:rsidRPr="00484B94" w:rsidRDefault="007478E0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C16F3DB" w14:textId="77777777" w:rsidR="005D65A5" w:rsidRPr="00484B94" w:rsidRDefault="007478E0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484B9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84B9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484B9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484B94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4B94" w:rsidRPr="00484B94" w14:paraId="1EC7C9BC" w14:textId="77777777" w:rsidTr="00AE47DC">
        <w:tc>
          <w:tcPr>
            <w:tcW w:w="562" w:type="dxa"/>
          </w:tcPr>
          <w:p w14:paraId="065CEDD9" w14:textId="77777777" w:rsidR="00484B94" w:rsidRPr="00484B94" w:rsidRDefault="00484B94" w:rsidP="00AE47D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61D580D" w14:textId="77777777" w:rsidR="00484B94" w:rsidRPr="00484B94" w:rsidRDefault="00484B94" w:rsidP="00AE47D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84B9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484B9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84B9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484B9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484B9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84B94" w14:paraId="0267C479" w14:textId="77777777" w:rsidTr="00801458">
        <w:tc>
          <w:tcPr>
            <w:tcW w:w="2500" w:type="pct"/>
          </w:tcPr>
          <w:p w14:paraId="37F699C9" w14:textId="77777777" w:rsidR="00B8237E" w:rsidRPr="00484B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B9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84B9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84B9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84B94" w14:paraId="3F240151" w14:textId="77777777" w:rsidTr="00801458">
        <w:tc>
          <w:tcPr>
            <w:tcW w:w="2500" w:type="pct"/>
          </w:tcPr>
          <w:p w14:paraId="61E91592" w14:textId="61A0874C" w:rsidR="00B8237E" w:rsidRPr="00484B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Написание реферата</w:t>
            </w:r>
          </w:p>
        </w:tc>
        <w:tc>
          <w:tcPr>
            <w:tcW w:w="2500" w:type="pct"/>
          </w:tcPr>
          <w:p w14:paraId="45ED640C" w14:textId="16CDBBD7" w:rsidR="00B8237E" w:rsidRPr="00484B94" w:rsidRDefault="005C548A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84B94" w14:paraId="261EFC82" w14:textId="77777777" w:rsidTr="00801458">
        <w:tc>
          <w:tcPr>
            <w:tcW w:w="2500" w:type="pct"/>
          </w:tcPr>
          <w:p w14:paraId="62A894F3" w14:textId="77777777" w:rsidR="00B8237E" w:rsidRPr="00484B9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867185F" w14:textId="77777777" w:rsidR="00B8237E" w:rsidRPr="00484B94" w:rsidRDefault="005C548A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484B94" w14:paraId="5012FA27" w14:textId="77777777" w:rsidTr="00801458">
        <w:tc>
          <w:tcPr>
            <w:tcW w:w="2500" w:type="pct"/>
          </w:tcPr>
          <w:p w14:paraId="0DC9D4C8" w14:textId="77777777" w:rsidR="00B8237E" w:rsidRPr="00484B94" w:rsidRDefault="00B8237E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F4B00F" w14:textId="77777777" w:rsidR="00B8237E" w:rsidRPr="00484B94" w:rsidRDefault="005C548A" w:rsidP="00801458">
            <w:pPr>
              <w:rPr>
                <w:rFonts w:ascii="Times New Roman" w:hAnsi="Times New Roman" w:cs="Times New Roman"/>
              </w:rPr>
            </w:pPr>
            <w:r w:rsidRPr="00484B94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484B9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3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66EC39" w14:textId="77777777" w:rsidR="00651D1C" w:rsidRDefault="00651D1C" w:rsidP="00315CA6">
      <w:pPr>
        <w:spacing w:after="0" w:line="240" w:lineRule="auto"/>
      </w:pPr>
      <w:r>
        <w:separator/>
      </w:r>
    </w:p>
  </w:endnote>
  <w:endnote w:type="continuationSeparator" w:id="0">
    <w:p w14:paraId="2DED167E" w14:textId="77777777" w:rsidR="00651D1C" w:rsidRDefault="00651D1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0CE4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03FC5" w14:textId="77777777" w:rsidR="00651D1C" w:rsidRDefault="00651D1C" w:rsidP="00315CA6">
      <w:pPr>
        <w:spacing w:after="0" w:line="240" w:lineRule="auto"/>
      </w:pPr>
      <w:r>
        <w:separator/>
      </w:r>
    </w:p>
  </w:footnote>
  <w:footnote w:type="continuationSeparator" w:id="0">
    <w:p w14:paraId="5A743717" w14:textId="77777777" w:rsidR="00651D1C" w:rsidRDefault="00651D1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EAC49E7"/>
    <w:multiLevelType w:val="hybridMultilevel"/>
    <w:tmpl w:val="078028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4B9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1D1C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B637A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5549"/>
    <w:rsid w:val="00A77598"/>
    <w:rsid w:val="00A86C18"/>
    <w:rsid w:val="00AA24DD"/>
    <w:rsid w:val="00AA7A6A"/>
    <w:rsid w:val="00AC3C95"/>
    <w:rsid w:val="00AD3A54"/>
    <w:rsid w:val="00AD6122"/>
    <w:rsid w:val="00AE2B1A"/>
    <w:rsid w:val="00B00CE4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upravlenie-riskami-560651" TargetMode="External"/><Relationship Id="rId18" Type="http://schemas.openxmlformats.org/officeDocument/2006/relationships/hyperlink" Target="https://urait.ru/viewer/teoriya-igr-osnovnye-ponyatiya-539368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oecd-ilibrary.org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2142" TargetMode="External"/><Relationship Id="rId17" Type="http://schemas.openxmlformats.org/officeDocument/2006/relationships/hyperlink" Target="https://urait.ru/viewer/teoriya-igr-561384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438051" TargetMode="External"/><Relationship Id="rId20" Type="http://schemas.openxmlformats.org/officeDocument/2006/relationships/hyperlink" Target="http://www.polpred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38050" TargetMode="External"/><Relationship Id="rId23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yperlink" Target="http://www.grebennikon.ru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sistemnyy-analiz-i-programmno-celevoy-menedzhment-riskov-563680" TargetMode="External"/><Relationship Id="rId22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66326A-E4C7-4CDB-A738-C97C9D5DD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3058</Words>
  <Characters>17437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